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default" w:eastAsia="方正小标宋_GBK" w:cs="Times New Roman"/>
          <w:sz w:val="44"/>
          <w:szCs w:val="44"/>
        </w:rPr>
        <w:t>企业增资</w:t>
      </w:r>
      <w:r>
        <w:rPr>
          <w:rFonts w:hint="eastAsia" w:eastAsia="方正小标宋_GBK" w:cs="Times New Roman"/>
          <w:sz w:val="44"/>
          <w:szCs w:val="44"/>
          <w:lang w:eastAsia="zh-CN"/>
        </w:rPr>
        <w:t>信息</w:t>
      </w:r>
      <w:r>
        <w:rPr>
          <w:rFonts w:hint="default" w:eastAsia="方正小标宋_GBK" w:cs="Times New Roman"/>
          <w:sz w:val="44"/>
          <w:szCs w:val="44"/>
        </w:rPr>
        <w:t>预披露</w:t>
      </w:r>
      <w:r>
        <w:rPr>
          <w:rFonts w:hint="eastAsia" w:eastAsia="方正小标宋_GBK" w:cs="Times New Roman"/>
          <w:sz w:val="44"/>
          <w:szCs w:val="44"/>
          <w:lang w:eastAsia="zh-CN"/>
        </w:rPr>
        <w:t>申请</w:t>
      </w:r>
    </w:p>
    <w:p>
      <w:pPr>
        <w:spacing w:line="360" w:lineRule="auto"/>
        <w:jc w:val="left"/>
        <w:rPr>
          <w:rFonts w:hint="default" w:cs="Times New Roman"/>
          <w:b/>
          <w:sz w:val="24"/>
          <w:szCs w:val="24"/>
        </w:rPr>
      </w:pPr>
    </w:p>
    <w:p>
      <w:pPr>
        <w:spacing w:line="590" w:lineRule="exact"/>
        <w:jc w:val="left"/>
        <w:rPr>
          <w:rFonts w:hint="default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南通市公共资源交易中心</w:t>
      </w:r>
      <w:r>
        <w:rPr>
          <w:rFonts w:hint="eastAsia" w:eastAsia="方正仿宋_GBK" w:cs="Times New Roman"/>
          <w:sz w:val="32"/>
          <w:szCs w:val="32"/>
        </w:rPr>
        <w:t>：</w:t>
      </w:r>
    </w:p>
    <w:p>
      <w:pPr>
        <w:spacing w:line="590" w:lineRule="exact"/>
        <w:ind w:firstLine="627" w:firstLineChars="196"/>
        <w:jc w:val="left"/>
        <w:rPr>
          <w:rFonts w:hint="default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我方拟实施企业增资，并通过</w:t>
      </w:r>
      <w:r>
        <w:rPr>
          <w:rFonts w:hint="eastAsia" w:eastAsia="方正仿宋_GBK" w:cs="Times New Roman"/>
          <w:sz w:val="32"/>
          <w:szCs w:val="32"/>
          <w:lang w:eastAsia="zh-CN"/>
        </w:rPr>
        <w:t>南通市公共资源交易中心</w:t>
      </w:r>
      <w:r>
        <w:rPr>
          <w:rFonts w:hint="eastAsia" w:eastAsia="方正仿宋_GBK" w:cs="Times New Roman"/>
          <w:sz w:val="32"/>
          <w:szCs w:val="32"/>
        </w:rPr>
        <w:t>（以下简称“</w:t>
      </w:r>
      <w:r>
        <w:rPr>
          <w:rFonts w:hint="eastAsia" w:eastAsia="方正仿宋_GBK" w:cs="Times New Roman"/>
          <w:sz w:val="32"/>
          <w:szCs w:val="32"/>
          <w:lang w:eastAsia="zh-CN"/>
        </w:rPr>
        <w:t>交易中心</w:t>
      </w:r>
      <w:r>
        <w:rPr>
          <w:rFonts w:hint="default" w:eastAsia="方正仿宋_GBK" w:cs="Times New Roman"/>
          <w:sz w:val="32"/>
          <w:szCs w:val="32"/>
        </w:rPr>
        <w:t>”</w:t>
      </w:r>
      <w:r>
        <w:rPr>
          <w:rFonts w:hint="eastAsia" w:eastAsia="方正仿宋_GBK" w:cs="Times New Roman"/>
          <w:sz w:val="32"/>
          <w:szCs w:val="32"/>
        </w:rPr>
        <w:t xml:space="preserve">）公开预披露增资信息和组织交易活动，依照公开、公平、公正和诚信的原则作如下承诺：   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</w:rPr>
        <w:t xml:space="preserve">                                                                                  </w:t>
      </w:r>
    </w:p>
    <w:p>
      <w:pPr>
        <w:spacing w:line="590" w:lineRule="exact"/>
        <w:ind w:firstLine="627" w:firstLineChars="196"/>
        <w:jc w:val="left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</w:rPr>
        <w:t>（1）本次增资预披露是我方真实意思表示，所涉产权权属清晰</w:t>
      </w:r>
      <w:r>
        <w:rPr>
          <w:rFonts w:hint="eastAsia" w:eastAsia="方正仿宋_GBK" w:cs="Times New Roman"/>
          <w:sz w:val="32"/>
          <w:szCs w:val="32"/>
          <w:lang w:eastAsia="zh-CN"/>
        </w:rPr>
        <w:t>，且</w:t>
      </w:r>
      <w:r>
        <w:rPr>
          <w:rFonts w:hint="eastAsia" w:eastAsia="方正仿宋_GBK" w:cs="Times New Roman"/>
          <w:sz w:val="32"/>
          <w:szCs w:val="32"/>
        </w:rPr>
        <w:t>已履行有效的内部决策等相应程序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spacing w:line="590" w:lineRule="exact"/>
        <w:ind w:firstLine="627" w:firstLineChars="196"/>
        <w:jc w:val="left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</w:rPr>
        <w:t>（2）我方所提交的增资预披露申请及相关材料真实、完整、准确、合法、有效，不存在虚假记载、误导性陈述或重大遗漏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sz w:val="32"/>
          <w:szCs w:val="32"/>
        </w:rPr>
        <w:t>我方同意</w:t>
      </w:r>
      <w:r>
        <w:rPr>
          <w:rFonts w:hint="eastAsia" w:eastAsia="方正仿宋_GBK" w:cs="Times New Roman"/>
          <w:sz w:val="32"/>
          <w:szCs w:val="32"/>
          <w:lang w:eastAsia="zh-CN"/>
        </w:rPr>
        <w:t>交易中心</w:t>
      </w:r>
      <w:r>
        <w:rPr>
          <w:rFonts w:hint="eastAsia" w:eastAsia="方正仿宋_GBK" w:cs="Times New Roman"/>
          <w:sz w:val="32"/>
          <w:szCs w:val="32"/>
        </w:rPr>
        <w:t>按上述材料内容发布预披露信息，并对预披露内容和上述材料的真实性、完整性、准确性、合法性、有效性承担法律责任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spacing w:line="590" w:lineRule="exact"/>
        <w:ind w:firstLine="627" w:firstLineChars="196"/>
        <w:jc w:val="left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</w:rPr>
        <w:t>（3）我方在交易过程中自愿遵守有关法律法规和</w:t>
      </w:r>
      <w:r>
        <w:rPr>
          <w:rFonts w:hint="eastAsia" w:eastAsia="方正仿宋_GBK" w:cs="Times New Roman"/>
          <w:sz w:val="32"/>
          <w:szCs w:val="32"/>
          <w:lang w:eastAsia="zh-CN"/>
        </w:rPr>
        <w:t>交易中心</w:t>
      </w:r>
      <w:r>
        <w:rPr>
          <w:rFonts w:hint="eastAsia" w:eastAsia="方正仿宋_GBK" w:cs="Times New Roman"/>
          <w:sz w:val="32"/>
          <w:szCs w:val="32"/>
        </w:rPr>
        <w:t>相关交易规则及规定，恪守增资预披露约定，按照相关要求履行我方义务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spacing w:line="590" w:lineRule="exact"/>
        <w:ind w:firstLine="627" w:firstLineChars="196"/>
        <w:jc w:val="left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</w:rPr>
        <w:t>（4）增资预披露结束后，如项目转为正式披露项目，我方将按照有关交易规则在</w:t>
      </w:r>
      <w:r>
        <w:rPr>
          <w:rFonts w:hint="eastAsia" w:eastAsia="方正仿宋_GBK" w:cs="Times New Roman"/>
          <w:sz w:val="32"/>
          <w:szCs w:val="32"/>
          <w:lang w:eastAsia="zh-CN"/>
        </w:rPr>
        <w:t>交易中心</w:t>
      </w:r>
      <w:r>
        <w:rPr>
          <w:rFonts w:hint="eastAsia" w:eastAsia="方正仿宋_GBK" w:cs="Times New Roman"/>
          <w:sz w:val="32"/>
          <w:szCs w:val="32"/>
        </w:rPr>
        <w:t>办理相关手续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spacing w:line="590" w:lineRule="exact"/>
        <w:ind w:firstLine="627" w:firstLineChars="196"/>
        <w:jc w:val="left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</w:rPr>
        <w:t>（5）我方同意</w:t>
      </w:r>
      <w:r>
        <w:rPr>
          <w:rFonts w:hint="eastAsia" w:eastAsia="方正仿宋_GBK" w:cs="Times New Roman"/>
          <w:sz w:val="32"/>
          <w:szCs w:val="32"/>
          <w:lang w:eastAsia="zh-CN"/>
        </w:rPr>
        <w:t>交易中心</w:t>
      </w:r>
      <w:r>
        <w:rPr>
          <w:rFonts w:hint="eastAsia" w:eastAsia="方正仿宋_GBK" w:cs="Times New Roman"/>
          <w:sz w:val="32"/>
          <w:szCs w:val="32"/>
        </w:rPr>
        <w:t>通过网络或其他方式对本项目进行对外推介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spacing w:line="590" w:lineRule="exact"/>
        <w:ind w:firstLine="627" w:firstLineChars="196"/>
        <w:rPr>
          <w:rFonts w:hint="default" w:eastAsia="方正仿宋_GBK" w:cs="Times New Roman"/>
          <w:sz w:val="32"/>
          <w:szCs w:val="32"/>
        </w:rPr>
      </w:pPr>
      <w:r>
        <w:rPr>
          <w:rFonts w:hint="default" w:eastAsia="方正仿宋_GBK" w:cs="Times New Roman"/>
          <w:sz w:val="32"/>
          <w:szCs w:val="32"/>
        </w:rPr>
        <w:t xml:space="preserve"> </w:t>
      </w:r>
      <w:r>
        <w:rPr>
          <w:rFonts w:hint="eastAsia" w:eastAsia="方正仿宋_GBK" w:cs="Times New Roman"/>
          <w:sz w:val="32"/>
          <w:szCs w:val="32"/>
        </w:rPr>
        <w:t>我方保证遵守以上承诺，并同意</w:t>
      </w:r>
      <w:r>
        <w:rPr>
          <w:rFonts w:hint="eastAsia" w:eastAsia="方正仿宋_GBK" w:cs="Times New Roman"/>
          <w:sz w:val="32"/>
          <w:szCs w:val="32"/>
          <w:lang w:eastAsia="zh-CN"/>
        </w:rPr>
        <w:t>交易中心</w:t>
      </w:r>
      <w:r>
        <w:rPr>
          <w:rFonts w:hint="eastAsia" w:eastAsia="方正仿宋_GBK" w:cs="Times New Roman"/>
          <w:sz w:val="32"/>
          <w:szCs w:val="32"/>
        </w:rPr>
        <w:t>将相关承诺在本项目公告中披露。如违反上述承诺或有违规行为，给交易相关方及</w:t>
      </w:r>
      <w:r>
        <w:rPr>
          <w:rFonts w:hint="eastAsia" w:eastAsia="方正仿宋_GBK" w:cs="Times New Roman"/>
          <w:sz w:val="32"/>
          <w:szCs w:val="32"/>
          <w:lang w:eastAsia="zh-CN"/>
        </w:rPr>
        <w:t>交易中心</w:t>
      </w:r>
      <w:r>
        <w:rPr>
          <w:rFonts w:hint="eastAsia" w:eastAsia="方正仿宋_GBK" w:cs="Times New Roman"/>
          <w:sz w:val="32"/>
          <w:szCs w:val="32"/>
        </w:rPr>
        <w:t>造成损失的，我方愿意承担相应的赔偿责任及其他法律责任。</w:t>
      </w:r>
    </w:p>
    <w:p>
      <w:pPr>
        <w:spacing w:line="360" w:lineRule="auto"/>
        <w:ind w:firstLine="627" w:firstLineChars="196"/>
        <w:rPr>
          <w:rFonts w:hint="default" w:eastAsia="方正仿宋_GBK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hint="default" w:eastAsia="方正仿宋_GBK" w:cs="Times New Roman"/>
          <w:sz w:val="32"/>
          <w:szCs w:val="32"/>
        </w:rPr>
      </w:pPr>
    </w:p>
    <w:p>
      <w:pPr>
        <w:spacing w:line="360" w:lineRule="auto"/>
        <w:ind w:firstLine="627" w:firstLineChars="196"/>
        <w:jc w:val="right"/>
        <w:rPr>
          <w:rFonts w:hint="default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增资</w:t>
      </w:r>
      <w:r>
        <w:rPr>
          <w:rFonts w:hint="eastAsia" w:eastAsia="方正仿宋_GBK" w:cs="Times New Roman"/>
          <w:sz w:val="32"/>
          <w:szCs w:val="32"/>
          <w:lang w:eastAsia="zh-CN"/>
        </w:rPr>
        <w:t>方</w:t>
      </w:r>
      <w:r>
        <w:rPr>
          <w:rFonts w:hint="eastAsia" w:eastAsia="方正仿宋_GBK" w:cs="Times New Roman"/>
          <w:sz w:val="32"/>
          <w:szCs w:val="32"/>
        </w:rPr>
        <w:t>（签章）：</w:t>
      </w:r>
    </w:p>
    <w:p>
      <w:pPr>
        <w:spacing w:line="360" w:lineRule="auto"/>
        <w:ind w:firstLine="627" w:firstLineChars="196"/>
        <w:jc w:val="right"/>
        <w:rPr>
          <w:rFonts w:hint="default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年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sz w:val="32"/>
          <w:szCs w:val="32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eastAsia="方正仿宋_GBK" w:cs="Times New Roman"/>
          <w:sz w:val="32"/>
          <w:szCs w:val="32"/>
        </w:rPr>
        <w:t>日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cs="Times New Roman"/>
          <w:sz w:val="24"/>
          <w:szCs w:val="24"/>
          <w:lang w:val="en-US" w:eastAsia="zh-CN"/>
        </w:rPr>
        <w:t xml:space="preserve"> 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ind w:firstLine="627" w:firstLineChars="196"/>
        <w:rPr>
          <w:rFonts w:hint="default" w:eastAsia="方正仿宋_GBK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hint="default" w:eastAsia="方正仿宋_GBK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hint="default" w:eastAsia="方正仿宋_GBK" w:cs="Times New Roman"/>
          <w:sz w:val="32"/>
          <w:szCs w:val="32"/>
        </w:rPr>
      </w:pPr>
    </w:p>
    <w:p>
      <w:pPr>
        <w:ind w:right="600"/>
        <w:jc w:val="left"/>
        <w:rPr>
          <w:rFonts w:hint="default" w:cs="Times New Roman"/>
          <w:sz w:val="24"/>
          <w:szCs w:val="24"/>
        </w:rPr>
      </w:pPr>
    </w:p>
    <w:p>
      <w:pPr>
        <w:ind w:right="600" w:firstLine="5280" w:firstLineChars="2200"/>
        <w:jc w:val="left"/>
        <w:rPr>
          <w:rFonts w:hint="default" w:cs="Times New Roman"/>
          <w:sz w:val="24"/>
          <w:szCs w:val="24"/>
        </w:rPr>
      </w:pPr>
    </w:p>
    <w:p>
      <w:pPr>
        <w:ind w:right="600" w:firstLine="5280" w:firstLineChars="2200"/>
        <w:jc w:val="right"/>
        <w:rPr>
          <w:rFonts w:hint="default" w:cs="Times New Roman"/>
          <w:sz w:val="24"/>
          <w:szCs w:val="24"/>
        </w:rPr>
      </w:pPr>
    </w:p>
    <w:p>
      <w:pPr>
        <w:spacing w:line="360" w:lineRule="auto"/>
        <w:ind w:firstLine="470" w:firstLineChars="196"/>
        <w:jc w:val="right"/>
        <w:rPr>
          <w:rFonts w:hint="default" w:cs="Times New Roman"/>
          <w:sz w:val="21"/>
          <w:szCs w:val="24"/>
          <w:lang w:val="en-US" w:eastAsia="zh-CN"/>
        </w:rPr>
      </w:pPr>
      <w:r>
        <w:rPr>
          <w:rFonts w:hint="default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hint="default" w:cs="Times New Roman"/>
          <w:sz w:val="24"/>
          <w:szCs w:val="24"/>
          <w:lang w:val="en-US" w:eastAsia="zh-CN"/>
        </w:rPr>
        <w:t xml:space="preserve">           </w:t>
      </w:r>
    </w:p>
    <w:sectPr>
      <w:pgSz w:w="12240" w:h="15840"/>
      <w:pgMar w:top="2098" w:right="1474" w:bottom="1984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730DB6"/>
    <w:rsid w:val="2C5B4BE5"/>
    <w:rsid w:val="517D6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2022-06-16T01:45:00Z</dcterms:created>
  <dc:creator>user</dc:creator>
  <cp:lastModifiedBy>user</cp:lastModifiedBy>
  <dcterms:modified xsi:type="dcterms:W3CDTF">2022-06-16T02:41:16Z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87B5DCD2410949A59E946F23A6EAE78A</vt:lpwstr>
  </property>
</Properties>
</file>